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728"/>
        <w:gridCol w:w="1094"/>
        <w:gridCol w:w="1094"/>
        <w:gridCol w:w="662"/>
        <w:gridCol w:w="945"/>
        <w:gridCol w:w="1559"/>
        <w:gridCol w:w="1599"/>
        <w:gridCol w:w="1760"/>
        <w:gridCol w:w="3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60" w:lineRule="atLeast"/>
              <w:jc w:val="left"/>
              <w:textAlignment w:val="center"/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 xml:space="preserve"> </w:t>
            </w:r>
            <w:r>
              <w:rPr>
                <w:rFonts w:hint="eastAsia" w:ascii="宋体" w:hAnsi="宋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附件</w:t>
            </w:r>
            <w:r>
              <w:rPr>
                <w:rFonts w:ascii="宋体" w:hAnsi="宋体"/>
                <w:b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.</w:t>
            </w:r>
          </w:p>
          <w:p>
            <w:pPr>
              <w:widowControl/>
              <w:spacing w:line="16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广安职业技术学院医学院2021年春季学期人事代理岗位表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招聘名额</w:t>
            </w:r>
          </w:p>
        </w:tc>
        <w:tc>
          <w:tcPr>
            <w:tcW w:w="5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招聘岗位资格条件</w:t>
            </w:r>
          </w:p>
        </w:tc>
        <w:tc>
          <w:tcPr>
            <w:tcW w:w="3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3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YXY001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35岁以下（1986年5月1日以后出生）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针灸推拿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取得医师资格证/康复治疗师资格证者优先；有三年以上临床或教学工作经验、研究生学历者优先。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YXY002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35岁以下（1986年5月1日以后出生）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需取得护士资格证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副高及以上职称年龄可放宽到40岁以下（1981年5月1日以后出生）。有三年以上临床或教学工作经验、研究生学历者优先。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YXY003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35岁以下（1986年5月1日以后出生）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取得医师资格证者优先；有三年以上临床或教学工作经验、研究生学历者优先。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YXY004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35岁以下（1986年5月1日以后出生）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取得医师资格证者优先；有三年以上临床或教学工作经验、住院医师规范化培训合格者、研究生学历者优先。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YXY005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35岁以下（1986年5月1日以后出生）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卫生检验与检疫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取得行业相关资格证者优先；有三年以上临床或教学工作经验、研究生学历者优先。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51CFE"/>
    <w:rsid w:val="30A51CFE"/>
    <w:rsid w:val="534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2021-05-08T02:50:00Z</dcterms:created>
  <dc:creator>迷了鹿1399552261</dc:creator>
  <cp:lastModifiedBy>迷了鹿1399552261</cp:lastModifiedBy>
  <dcterms:modified xsi:type="dcterms:W3CDTF">2021-05-08T07:29:36Z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6B6F6729BA8E4ED18DE329C3FC3CA746</vt:lpwstr>
  </property>
</Properties>
</file>