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FF0000"/>
          <w:spacing w:val="0"/>
          <w:sz w:val="44"/>
          <w:szCs w:val="44"/>
          <w:bdr w:val="none" w:color="auto" w:sz="0" w:space="0"/>
          <w:shd w:val="clear" w:fill="FFFFFF"/>
        </w:rPr>
        <w:t>四川省南充精神卫生中心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FF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招聘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体检对象</w:t>
      </w:r>
    </w:p>
    <w:tbl>
      <w:tblPr>
        <w:tblW w:w="144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1364"/>
        <w:gridCol w:w="3018"/>
        <w:gridCol w:w="4735"/>
        <w:gridCol w:w="31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曾滟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5211111151824</w:t>
            </w:r>
          </w:p>
        </w:tc>
        <w:tc>
          <w:tcPr>
            <w:tcW w:w="2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四川省南充精神卫生中心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中西医结合医师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D0C79"/>
    <w:rsid w:val="71CD0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2020-10-13T06:36:00Z</dcterms:created>
  <dc:creator>ASUS</dc:creator>
  <cp:lastModifiedBy>ASUS</cp:lastModifiedBy>
  <dcterms:modified xsi:type="dcterms:W3CDTF">2020-10-13T06:37:17Z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